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FB3747" w:rsidTr="00FB3747">
        <w:tc>
          <w:tcPr>
            <w:tcW w:w="10188" w:type="dxa"/>
            <w:gridSpan w:val="2"/>
          </w:tcPr>
          <w:p w:rsidR="00FB3747" w:rsidRDefault="00FB3747" w:rsidP="00FB374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9264" behindDoc="1" locked="0" layoutInCell="1" allowOverlap="1" wp14:anchorId="1E78CE5E" wp14:editId="1B91BE1F">
                  <wp:simplePos x="0" y="0"/>
                  <wp:positionH relativeFrom="column">
                    <wp:posOffset>5368925</wp:posOffset>
                  </wp:positionH>
                  <wp:positionV relativeFrom="paragraph">
                    <wp:posOffset>115570</wp:posOffset>
                  </wp:positionV>
                  <wp:extent cx="1019175" cy="555625"/>
                  <wp:effectExtent l="0" t="0" r="9525" b="0"/>
                  <wp:wrapTight wrapText="bothSides">
                    <wp:wrapPolygon edited="0">
                      <wp:start x="404" y="0"/>
                      <wp:lineTo x="0" y="16293"/>
                      <wp:lineTo x="0" y="20736"/>
                      <wp:lineTo x="9286" y="20736"/>
                      <wp:lineTo x="11708" y="19995"/>
                      <wp:lineTo x="17764" y="14071"/>
                      <wp:lineTo x="17361" y="11849"/>
                      <wp:lineTo x="21398" y="6665"/>
                      <wp:lineTo x="21398" y="3703"/>
                      <wp:lineTo x="18976" y="0"/>
                      <wp:lineTo x="404" y="0"/>
                    </wp:wrapPolygon>
                  </wp:wrapTight>
                  <wp:docPr id="2" name="Picture 2" descr="Hamilton-Wentworth District School Board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amilton-Wentworth District School Board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B3747" w:rsidRDefault="00FB3747" w:rsidP="00FB374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WESTDALE SECONDARY SCHOOL</w:t>
            </w:r>
          </w:p>
          <w:p w:rsidR="00FB3747" w:rsidRDefault="00FB3747" w:rsidP="00FB374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HAMILTON-WENTWORTH DISTRICT SCHOOL BOARD</w:t>
            </w:r>
          </w:p>
          <w:p w:rsidR="00FB3747" w:rsidRPr="00FB3747" w:rsidRDefault="00FB3747" w:rsidP="00E2507B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8240" behindDoc="1" locked="0" layoutInCell="1" allowOverlap="1" wp14:anchorId="41377A29" wp14:editId="08565B0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-524510</wp:posOffset>
                  </wp:positionV>
                  <wp:extent cx="742950" cy="781050"/>
                  <wp:effectExtent l="0" t="0" r="0" b="0"/>
                  <wp:wrapTight wrapText="bothSides">
                    <wp:wrapPolygon edited="0">
                      <wp:start x="0" y="0"/>
                      <wp:lineTo x="0" y="21073"/>
                      <wp:lineTo x="21046" y="21073"/>
                      <wp:lineTo x="21046" y="0"/>
                      <wp:lineTo x="0" y="0"/>
                    </wp:wrapPolygon>
                  </wp:wrapTight>
                  <wp:docPr id="1" name="Picture 1" descr="Westdale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Westdale Logo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507B">
              <w:rPr>
                <w:rFonts w:ascii="Arial" w:hAnsi="Arial" w:cs="Arial"/>
                <w:b/>
                <w:sz w:val="24"/>
              </w:rPr>
              <w:t xml:space="preserve">FRENCH IMMERSION </w:t>
            </w:r>
            <w:r>
              <w:rPr>
                <w:rFonts w:ascii="Arial" w:hAnsi="Arial" w:cs="Arial"/>
                <w:b/>
                <w:sz w:val="24"/>
              </w:rPr>
              <w:t>DEPARTMENT</w:t>
            </w:r>
          </w:p>
        </w:tc>
      </w:tr>
      <w:tr w:rsidR="00FB3747" w:rsidTr="005C7595">
        <w:trPr>
          <w:trHeight w:val="601"/>
        </w:trPr>
        <w:tc>
          <w:tcPr>
            <w:tcW w:w="10188" w:type="dxa"/>
            <w:gridSpan w:val="2"/>
          </w:tcPr>
          <w:p w:rsidR="00FB3747" w:rsidRDefault="00E2507B" w:rsidP="00427CE1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MPM2D1I</w:t>
            </w:r>
            <w:r w:rsidR="00427CE1">
              <w:rPr>
                <w:rFonts w:ascii="Arial" w:hAnsi="Arial" w:cs="Arial"/>
                <w:b/>
                <w:sz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</w:rPr>
              <w:t>PRINCIPLES OF MATHEMATICS/PRINCIPES DE MATHÉMATIQUES</w:t>
            </w:r>
          </w:p>
          <w:p w:rsidR="00427CE1" w:rsidRPr="00427CE1" w:rsidRDefault="00E2507B" w:rsidP="005C759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GRADE 10 ACADEMIC</w:t>
            </w:r>
          </w:p>
        </w:tc>
      </w:tr>
      <w:tr w:rsidR="005C7595" w:rsidTr="00FB3747">
        <w:trPr>
          <w:trHeight w:val="1680"/>
        </w:trPr>
        <w:tc>
          <w:tcPr>
            <w:tcW w:w="10188" w:type="dxa"/>
            <w:gridSpan w:val="2"/>
          </w:tcPr>
          <w:p w:rsidR="005C7595" w:rsidRDefault="005C7595" w:rsidP="005C7595">
            <w:pPr>
              <w:rPr>
                <w:rFonts w:ascii="Arial" w:hAnsi="Arial" w:cs="Arial"/>
              </w:rPr>
            </w:pPr>
            <w:r w:rsidRPr="00427CE1">
              <w:rPr>
                <w:rFonts w:ascii="Arial" w:hAnsi="Arial" w:cs="Arial"/>
                <w:b/>
              </w:rPr>
              <w:t>Course Description: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E2507B" w:rsidRPr="00E2507B">
              <w:rPr>
                <w:rFonts w:ascii="Arial" w:hAnsi="Arial" w:cs="Arial"/>
              </w:rPr>
              <w:t>This course enables students to broaden their understanding of relations, extend their skills in multi-step problem solving, and continue to develop their abilities in abstract reasoning.  Students will pursue investigations of quadratic functions and their applications; solve and apply linear systems; solve multi-step problems in analytic geometry to verify properties of geometric figures; investigate the trigonometry of right and acute triangles; and develop supporting algebraic skills.</w:t>
            </w:r>
          </w:p>
          <w:p w:rsidR="005C7595" w:rsidRDefault="005C7595" w:rsidP="005C7595">
            <w:pPr>
              <w:rPr>
                <w:rFonts w:ascii="Arial" w:hAnsi="Arial" w:cs="Arial"/>
              </w:rPr>
            </w:pPr>
          </w:p>
          <w:p w:rsidR="005C7595" w:rsidRPr="00E2507B" w:rsidRDefault="005C7595" w:rsidP="005C7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Ministry Guideline:</w:t>
            </w:r>
            <w:r w:rsidR="00E2507B">
              <w:rPr>
                <w:rFonts w:ascii="Arial" w:hAnsi="Arial" w:cs="Arial"/>
                <w:b/>
              </w:rPr>
              <w:t xml:space="preserve"> </w:t>
            </w:r>
            <w:r w:rsidR="00E2507B">
              <w:rPr>
                <w:rFonts w:ascii="Arial" w:hAnsi="Arial" w:cs="Arial"/>
              </w:rPr>
              <w:t>Mathematics, Grades 9 and 10, revised 2005</w:t>
            </w:r>
          </w:p>
          <w:p w:rsidR="005C7595" w:rsidRDefault="005C7595" w:rsidP="005C7595">
            <w:pPr>
              <w:rPr>
                <w:rFonts w:ascii="Arial" w:hAnsi="Arial" w:cs="Arial"/>
                <w:b/>
              </w:rPr>
            </w:pPr>
          </w:p>
          <w:p w:rsidR="005C7595" w:rsidRPr="00E2507B" w:rsidRDefault="005C7595" w:rsidP="005C7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Credit Value:</w:t>
            </w:r>
            <w:r w:rsidR="00E2507B">
              <w:rPr>
                <w:rFonts w:ascii="Arial" w:hAnsi="Arial" w:cs="Arial"/>
                <w:b/>
              </w:rPr>
              <w:t xml:space="preserve"> </w:t>
            </w:r>
            <w:r w:rsidR="00E2507B">
              <w:rPr>
                <w:rFonts w:ascii="Arial" w:hAnsi="Arial" w:cs="Arial"/>
              </w:rPr>
              <w:t>1</w:t>
            </w:r>
          </w:p>
          <w:p w:rsidR="005C7595" w:rsidRDefault="005C7595" w:rsidP="005C7595">
            <w:pPr>
              <w:rPr>
                <w:rFonts w:ascii="Arial" w:hAnsi="Arial" w:cs="Arial"/>
              </w:rPr>
            </w:pPr>
          </w:p>
          <w:p w:rsidR="005C7595" w:rsidRPr="00E2507B" w:rsidRDefault="005C7595" w:rsidP="005C7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Prerequisite(s):</w:t>
            </w:r>
            <w:r w:rsidR="00E2507B">
              <w:rPr>
                <w:rFonts w:ascii="Arial" w:hAnsi="Arial" w:cs="Arial"/>
                <w:b/>
              </w:rPr>
              <w:t xml:space="preserve"> </w:t>
            </w:r>
            <w:r w:rsidR="00E2507B">
              <w:rPr>
                <w:rFonts w:ascii="Arial" w:hAnsi="Arial" w:cs="Arial"/>
              </w:rPr>
              <w:t>MPM1D1I</w:t>
            </w:r>
          </w:p>
          <w:p w:rsidR="005C7595" w:rsidRDefault="005C7595" w:rsidP="005C7595">
            <w:pPr>
              <w:rPr>
                <w:rFonts w:ascii="Arial" w:hAnsi="Arial" w:cs="Arial"/>
              </w:rPr>
            </w:pPr>
          </w:p>
          <w:p w:rsidR="005C7595" w:rsidRPr="00E2507B" w:rsidRDefault="005C7595" w:rsidP="005C7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Textbooks/Required Materials:</w:t>
            </w:r>
            <w:r w:rsidR="00E2507B">
              <w:rPr>
                <w:rFonts w:ascii="Arial" w:hAnsi="Arial" w:cs="Arial"/>
                <w:b/>
              </w:rPr>
              <w:t xml:space="preserve"> </w:t>
            </w:r>
            <w:r w:rsidR="00E2507B">
              <w:rPr>
                <w:rFonts w:ascii="Arial" w:hAnsi="Arial" w:cs="Arial"/>
              </w:rPr>
              <w:t>scientific calculator</w:t>
            </w:r>
          </w:p>
          <w:p w:rsidR="005C7595" w:rsidRDefault="005C7595" w:rsidP="005C7595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5C7595" w:rsidTr="005C7595">
        <w:trPr>
          <w:trHeight w:val="249"/>
        </w:trPr>
        <w:tc>
          <w:tcPr>
            <w:tcW w:w="10188" w:type="dxa"/>
            <w:gridSpan w:val="2"/>
          </w:tcPr>
          <w:p w:rsidR="005C7595" w:rsidRPr="005C7595" w:rsidRDefault="005C7595" w:rsidP="005C75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TEACHER INFORMATION</w:t>
            </w:r>
          </w:p>
        </w:tc>
      </w:tr>
      <w:tr w:rsidR="006E2428" w:rsidRPr="00643C56" w:rsidTr="00DE60EB">
        <w:tc>
          <w:tcPr>
            <w:tcW w:w="5094" w:type="dxa"/>
          </w:tcPr>
          <w:p w:rsidR="006E2428" w:rsidRPr="00643C56" w:rsidRDefault="006E2428" w:rsidP="006E2428">
            <w:pPr>
              <w:rPr>
                <w:rFonts w:ascii="Arial" w:hAnsi="Arial" w:cs="Arial"/>
              </w:rPr>
            </w:pPr>
            <w:r w:rsidRPr="006E2428">
              <w:rPr>
                <w:rFonts w:ascii="Arial" w:hAnsi="Arial" w:cs="Arial"/>
                <w:b/>
              </w:rPr>
              <w:t>Teacher:</w:t>
            </w:r>
            <w:r w:rsidR="00643C56">
              <w:rPr>
                <w:rFonts w:ascii="Arial" w:hAnsi="Arial" w:cs="Arial"/>
                <w:b/>
              </w:rPr>
              <w:t xml:space="preserve"> </w:t>
            </w:r>
            <w:r w:rsidR="00643C56">
              <w:rPr>
                <w:rFonts w:ascii="Arial" w:hAnsi="Arial" w:cs="Arial"/>
              </w:rPr>
              <w:t>Ms. J. Rimnyak</w:t>
            </w:r>
          </w:p>
          <w:p w:rsidR="006E2428" w:rsidRDefault="006E2428" w:rsidP="006E24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Phone Number: </w:t>
            </w:r>
            <w:r>
              <w:rPr>
                <w:rFonts w:ascii="Arial" w:hAnsi="Arial" w:cs="Arial"/>
              </w:rPr>
              <w:t>905-522-1387 ext.</w:t>
            </w:r>
            <w:r w:rsidR="00643C56">
              <w:rPr>
                <w:rFonts w:ascii="Arial" w:hAnsi="Arial" w:cs="Arial"/>
              </w:rPr>
              <w:t xml:space="preserve"> 610</w:t>
            </w:r>
          </w:p>
          <w:p w:rsidR="006E2428" w:rsidRPr="006E2428" w:rsidRDefault="006E2428" w:rsidP="006E2428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5094" w:type="dxa"/>
          </w:tcPr>
          <w:p w:rsidR="006E2428" w:rsidRPr="00643C56" w:rsidRDefault="006E2428" w:rsidP="006E2428">
            <w:pPr>
              <w:rPr>
                <w:rFonts w:ascii="Arial" w:hAnsi="Arial" w:cs="Arial"/>
                <w:lang w:val="fr-FR"/>
              </w:rPr>
            </w:pPr>
            <w:r w:rsidRPr="00643C56">
              <w:rPr>
                <w:rFonts w:ascii="Arial" w:hAnsi="Arial" w:cs="Arial"/>
                <w:b/>
                <w:lang w:val="fr-FR"/>
              </w:rPr>
              <w:t>Email:</w:t>
            </w:r>
            <w:r w:rsidR="00643C56" w:rsidRPr="00643C56">
              <w:rPr>
                <w:rFonts w:ascii="Arial" w:hAnsi="Arial" w:cs="Arial"/>
                <w:b/>
                <w:lang w:val="fr-FR"/>
              </w:rPr>
              <w:t xml:space="preserve"> </w:t>
            </w:r>
            <w:r w:rsidR="00643C56" w:rsidRPr="00643C56">
              <w:rPr>
                <w:rFonts w:ascii="Arial" w:hAnsi="Arial" w:cs="Arial"/>
                <w:lang w:val="fr-FR"/>
              </w:rPr>
              <w:t>jrimnyak@hwdsb.on.ca</w:t>
            </w:r>
          </w:p>
          <w:p w:rsidR="006E2428" w:rsidRPr="00643C56" w:rsidRDefault="006E2428" w:rsidP="006E2428">
            <w:pPr>
              <w:rPr>
                <w:rFonts w:ascii="Arial" w:hAnsi="Arial" w:cs="Arial"/>
                <w:lang w:val="fr-FR"/>
              </w:rPr>
            </w:pPr>
            <w:proofErr w:type="spellStart"/>
            <w:r w:rsidRPr="00643C56">
              <w:rPr>
                <w:rFonts w:ascii="Arial" w:hAnsi="Arial" w:cs="Arial"/>
                <w:b/>
                <w:lang w:val="fr-FR"/>
              </w:rPr>
              <w:t>Website</w:t>
            </w:r>
            <w:proofErr w:type="spellEnd"/>
            <w:r w:rsidRPr="00643C56">
              <w:rPr>
                <w:rFonts w:ascii="Arial" w:hAnsi="Arial" w:cs="Arial"/>
                <w:b/>
                <w:lang w:val="fr-FR"/>
              </w:rPr>
              <w:t xml:space="preserve">: </w:t>
            </w:r>
            <w:r w:rsidR="00643C56" w:rsidRPr="00643C56">
              <w:rPr>
                <w:rFonts w:ascii="Arial" w:hAnsi="Arial" w:cs="Arial"/>
                <w:lang w:val="fr-FR"/>
              </w:rPr>
              <w:t>rimnyakonline.wikispaces.com</w:t>
            </w:r>
          </w:p>
          <w:p w:rsidR="00643C56" w:rsidRPr="00643C56" w:rsidRDefault="00643C56" w:rsidP="006E242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Twitter: </w:t>
            </w:r>
            <w:r>
              <w:rPr>
                <w:rFonts w:ascii="Arial" w:hAnsi="Arial" w:cs="Arial"/>
                <w:lang w:val="fr-FR"/>
              </w:rPr>
              <w:t>@</w:t>
            </w:r>
            <w:proofErr w:type="spellStart"/>
            <w:r>
              <w:rPr>
                <w:rFonts w:ascii="Arial" w:hAnsi="Arial" w:cs="Arial"/>
                <w:lang w:val="fr-FR"/>
              </w:rPr>
              <w:t>MissRimnyak</w:t>
            </w:r>
            <w:proofErr w:type="spellEnd"/>
          </w:p>
        </w:tc>
      </w:tr>
      <w:tr w:rsidR="005C7595" w:rsidTr="00C5009C">
        <w:tc>
          <w:tcPr>
            <w:tcW w:w="10188" w:type="dxa"/>
            <w:gridSpan w:val="2"/>
          </w:tcPr>
          <w:p w:rsidR="005C7595" w:rsidRDefault="005C7595" w:rsidP="005C75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COURSE CURRICULUM</w:t>
            </w:r>
          </w:p>
        </w:tc>
      </w:tr>
      <w:tr w:rsidR="00FB3747" w:rsidTr="00FB3747">
        <w:tc>
          <w:tcPr>
            <w:tcW w:w="10188" w:type="dxa"/>
            <w:gridSpan w:val="2"/>
          </w:tcPr>
          <w:p w:rsidR="00FB3747" w:rsidRDefault="006E2428" w:rsidP="00FB37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Curriculum Strands and Overall Expectations</w:t>
            </w:r>
            <w:r w:rsidR="005C7595">
              <w:rPr>
                <w:rFonts w:ascii="Arial" w:hAnsi="Arial" w:cs="Arial"/>
                <w:b/>
              </w:rPr>
              <w:t>:</w:t>
            </w:r>
          </w:p>
          <w:p w:rsidR="00E2507B" w:rsidRPr="00643C56" w:rsidRDefault="00E2507B" w:rsidP="00E2507B">
            <w:pPr>
              <w:rPr>
                <w:rFonts w:ascii="Arial" w:hAnsi="Arial" w:cs="Arial"/>
                <w:u w:val="single"/>
                <w:lang w:val="fr-FR"/>
              </w:rPr>
            </w:pPr>
            <w:r w:rsidRPr="00643C56">
              <w:rPr>
                <w:rFonts w:ascii="Arial" w:hAnsi="Arial" w:cs="Arial"/>
                <w:u w:val="single"/>
              </w:rPr>
              <w:t xml:space="preserve">Quadratic Functions (Les </w:t>
            </w:r>
            <w:proofErr w:type="spellStart"/>
            <w:r w:rsidRPr="00643C56">
              <w:rPr>
                <w:rFonts w:ascii="Arial" w:hAnsi="Arial" w:cs="Arial"/>
                <w:u w:val="single"/>
              </w:rPr>
              <w:t>fonct</w:t>
            </w:r>
            <w:proofErr w:type="spellEnd"/>
            <w:r w:rsidRPr="00643C56">
              <w:rPr>
                <w:rFonts w:ascii="Arial" w:hAnsi="Arial" w:cs="Arial"/>
                <w:u w:val="single"/>
                <w:lang w:val="fr-FR"/>
              </w:rPr>
              <w:t>ions du second degré)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determine the basic properties of quadratic relations;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relate transformations of the graph of y=x^2 to the algebraic representation y=a</w:t>
            </w:r>
            <w:r w:rsidRPr="00E2507B">
              <w:rPr>
                <w:rFonts w:ascii="Cambria Math" w:hAnsi="Cambria Math" w:cs="Cambria Math"/>
              </w:rPr>
              <w:t>〖</w:t>
            </w:r>
            <w:r w:rsidRPr="00E2507B">
              <w:rPr>
                <w:rFonts w:ascii="Arial" w:hAnsi="Arial" w:cs="Arial"/>
              </w:rPr>
              <w:t>(x-h)</w:t>
            </w:r>
            <w:r w:rsidRPr="00E2507B">
              <w:rPr>
                <w:rFonts w:ascii="Cambria Math" w:hAnsi="Cambria Math" w:cs="Cambria Math"/>
              </w:rPr>
              <w:t>〗</w:t>
            </w:r>
            <w:r w:rsidRPr="00E2507B">
              <w:rPr>
                <w:rFonts w:ascii="Arial" w:hAnsi="Arial" w:cs="Arial"/>
              </w:rPr>
              <w:t>^2+k;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solve quadratic equations and interpret the solutions with respect to the corresponding relations;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solve problems involving quadratic relations.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</w:p>
          <w:p w:rsidR="00E2507B" w:rsidRPr="00643C56" w:rsidRDefault="00E2507B" w:rsidP="00E2507B">
            <w:pPr>
              <w:rPr>
                <w:rFonts w:ascii="Arial" w:hAnsi="Arial" w:cs="Arial"/>
                <w:u w:val="single"/>
                <w:lang w:val="fr-FR"/>
              </w:rPr>
            </w:pPr>
            <w:proofErr w:type="spellStart"/>
            <w:r w:rsidRPr="00643C56">
              <w:rPr>
                <w:rFonts w:ascii="Arial" w:hAnsi="Arial" w:cs="Arial"/>
                <w:u w:val="single"/>
                <w:lang w:val="fr-FR"/>
              </w:rPr>
              <w:t>Analytic</w:t>
            </w:r>
            <w:proofErr w:type="spellEnd"/>
            <w:r w:rsidRPr="00643C56">
              <w:rPr>
                <w:rFonts w:ascii="Arial" w:hAnsi="Arial" w:cs="Arial"/>
                <w:u w:val="single"/>
                <w:lang w:val="fr-FR"/>
              </w:rPr>
              <w:t xml:space="preserve"> </w:t>
            </w:r>
            <w:proofErr w:type="spellStart"/>
            <w:r w:rsidRPr="00643C56">
              <w:rPr>
                <w:rFonts w:ascii="Arial" w:hAnsi="Arial" w:cs="Arial"/>
                <w:u w:val="single"/>
                <w:lang w:val="fr-FR"/>
              </w:rPr>
              <w:t>Geometry</w:t>
            </w:r>
            <w:proofErr w:type="spellEnd"/>
            <w:r w:rsidRPr="00643C56">
              <w:rPr>
                <w:rFonts w:ascii="Arial" w:hAnsi="Arial" w:cs="Arial"/>
                <w:u w:val="single"/>
                <w:lang w:val="fr-FR"/>
              </w:rPr>
              <w:t xml:space="preserve"> (La géométrie analytique)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model and solve problems involving the intersection of two straight lines;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solve problems using analytic geometry involving properties of lines and line segments;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verify geometric properties of triangles and quadrilaterals, using analytic geometry.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</w:p>
          <w:p w:rsidR="00E2507B" w:rsidRPr="00E2507B" w:rsidRDefault="00E2507B" w:rsidP="00E2507B">
            <w:pPr>
              <w:rPr>
                <w:rFonts w:ascii="Arial" w:hAnsi="Arial" w:cs="Arial"/>
                <w:u w:val="single"/>
              </w:rPr>
            </w:pPr>
            <w:r w:rsidRPr="00E2507B">
              <w:rPr>
                <w:rFonts w:ascii="Arial" w:hAnsi="Arial" w:cs="Arial"/>
                <w:u w:val="single"/>
              </w:rPr>
              <w:t xml:space="preserve">Trigonometry (La </w:t>
            </w:r>
            <w:proofErr w:type="spellStart"/>
            <w:r w:rsidRPr="00E2507B">
              <w:rPr>
                <w:rFonts w:ascii="Arial" w:hAnsi="Arial" w:cs="Arial"/>
                <w:u w:val="single"/>
              </w:rPr>
              <w:t>trigonométrie</w:t>
            </w:r>
            <w:proofErr w:type="spellEnd"/>
            <w:r w:rsidRPr="00E2507B">
              <w:rPr>
                <w:rFonts w:ascii="Arial" w:hAnsi="Arial" w:cs="Arial"/>
                <w:u w:val="single"/>
              </w:rPr>
              <w:t>)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use their knowledge of ratio and proportion to investigate similar triangles and solve  problems related to similarity;</w:t>
            </w:r>
          </w:p>
          <w:p w:rsidR="00E2507B" w:rsidRPr="00E2507B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solve problems involving right triangles, using the primary trigonometric ratios and the Pythagorean theorem;</w:t>
            </w:r>
          </w:p>
          <w:p w:rsidR="005C7595" w:rsidRDefault="00E2507B" w:rsidP="00E2507B">
            <w:pPr>
              <w:rPr>
                <w:rFonts w:ascii="Arial" w:hAnsi="Arial" w:cs="Arial"/>
              </w:rPr>
            </w:pPr>
            <w:r w:rsidRPr="00E2507B">
              <w:rPr>
                <w:rFonts w:ascii="Arial" w:hAnsi="Arial" w:cs="Arial"/>
              </w:rPr>
              <w:t>- solve problems involving acute triangles, using the sine law and the cosine law.</w:t>
            </w:r>
          </w:p>
          <w:p w:rsidR="005C7595" w:rsidRDefault="005C7595" w:rsidP="00FB3747">
            <w:pPr>
              <w:rPr>
                <w:rFonts w:ascii="Arial" w:hAnsi="Arial" w:cs="Arial"/>
              </w:rPr>
            </w:pPr>
          </w:p>
          <w:p w:rsidR="005C7595" w:rsidRDefault="005C7595" w:rsidP="00FB3747">
            <w:pPr>
              <w:rPr>
                <w:rFonts w:ascii="Arial" w:hAnsi="Arial" w:cs="Arial"/>
              </w:rPr>
            </w:pPr>
          </w:p>
          <w:p w:rsidR="00643C56" w:rsidRDefault="00643C56" w:rsidP="00FB3747">
            <w:pPr>
              <w:rPr>
                <w:rFonts w:ascii="Arial" w:hAnsi="Arial" w:cs="Arial"/>
              </w:rPr>
            </w:pPr>
          </w:p>
          <w:p w:rsidR="00643C56" w:rsidRDefault="00643C56" w:rsidP="00FB3747">
            <w:pPr>
              <w:rPr>
                <w:rFonts w:ascii="Arial" w:hAnsi="Arial" w:cs="Arial"/>
              </w:rPr>
            </w:pPr>
          </w:p>
          <w:p w:rsidR="00643C56" w:rsidRDefault="00643C56" w:rsidP="00FB3747">
            <w:pPr>
              <w:rPr>
                <w:rFonts w:ascii="Arial" w:hAnsi="Arial" w:cs="Arial"/>
              </w:rPr>
            </w:pPr>
          </w:p>
          <w:p w:rsidR="00643C56" w:rsidRDefault="00643C56" w:rsidP="00FB3747">
            <w:pPr>
              <w:rPr>
                <w:rFonts w:ascii="Arial" w:hAnsi="Arial" w:cs="Arial"/>
              </w:rPr>
            </w:pPr>
          </w:p>
          <w:p w:rsidR="00643C56" w:rsidRDefault="00643C56" w:rsidP="00FB3747">
            <w:pPr>
              <w:rPr>
                <w:rFonts w:ascii="Arial" w:hAnsi="Arial" w:cs="Arial"/>
              </w:rPr>
            </w:pPr>
          </w:p>
          <w:p w:rsidR="00643C56" w:rsidRPr="005C7595" w:rsidRDefault="00643C56" w:rsidP="00FB374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5C7595" w:rsidTr="00FB3747">
        <w:tc>
          <w:tcPr>
            <w:tcW w:w="10188" w:type="dxa"/>
            <w:gridSpan w:val="2"/>
          </w:tcPr>
          <w:p w:rsidR="005C7595" w:rsidRDefault="005C7595" w:rsidP="005C75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ASSESSMENT &amp; EVALUATION</w:t>
            </w:r>
          </w:p>
        </w:tc>
      </w:tr>
      <w:tr w:rsidR="00FB3747" w:rsidTr="00FB3747">
        <w:tc>
          <w:tcPr>
            <w:tcW w:w="10188" w:type="dxa"/>
            <w:gridSpan w:val="2"/>
          </w:tcPr>
          <w:p w:rsidR="00FB3747" w:rsidRDefault="005C7595" w:rsidP="00FB37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Determination of Final Grade:</w:t>
            </w:r>
          </w:p>
          <w:p w:rsidR="005C7595" w:rsidRDefault="005C7595" w:rsidP="00FB37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Students’ final marks will be calculated using the following weighting:</w:t>
            </w:r>
          </w:p>
          <w:p w:rsidR="005C7595" w:rsidRPr="004246B0" w:rsidRDefault="005C7595" w:rsidP="005C7595">
            <w:pPr>
              <w:pStyle w:val="BodyText"/>
              <w:spacing w:line="240" w:lineRule="auto"/>
              <w:ind w:left="1134" w:firstLine="284"/>
              <w:rPr>
                <w:rFonts w:cs="Arial"/>
                <w:bCs/>
                <w:sz w:val="22"/>
                <w:szCs w:val="22"/>
              </w:rPr>
            </w:pPr>
            <w:r w:rsidRPr="004246B0">
              <w:rPr>
                <w:rFonts w:cs="Arial"/>
                <w:bCs/>
                <w:sz w:val="22"/>
                <w:szCs w:val="22"/>
              </w:rPr>
              <w:t>Term Work</w:t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  <w:t>70%</w:t>
            </w:r>
          </w:p>
          <w:p w:rsidR="005C7595" w:rsidRPr="004246B0" w:rsidRDefault="005C7595" w:rsidP="005C7595">
            <w:pPr>
              <w:pStyle w:val="BodyText"/>
              <w:spacing w:line="240" w:lineRule="auto"/>
              <w:ind w:left="1134" w:firstLine="284"/>
              <w:rPr>
                <w:rFonts w:cs="Arial"/>
                <w:bCs/>
                <w:sz w:val="22"/>
                <w:szCs w:val="22"/>
              </w:rPr>
            </w:pPr>
            <w:r w:rsidRPr="004246B0">
              <w:rPr>
                <w:rFonts w:cs="Arial"/>
                <w:bCs/>
                <w:sz w:val="22"/>
                <w:szCs w:val="22"/>
              </w:rPr>
              <w:t>Final Culminating Task(s)</w:t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="00E2507B">
              <w:rPr>
                <w:rFonts w:cs="Arial"/>
                <w:bCs/>
                <w:sz w:val="22"/>
                <w:szCs w:val="22"/>
              </w:rPr>
              <w:t xml:space="preserve">  5</w:t>
            </w:r>
            <w:r w:rsidRPr="004246B0">
              <w:rPr>
                <w:rFonts w:cs="Arial"/>
                <w:bCs/>
                <w:sz w:val="22"/>
                <w:szCs w:val="22"/>
              </w:rPr>
              <w:t>%</w:t>
            </w:r>
          </w:p>
          <w:p w:rsidR="005C7595" w:rsidRPr="004246B0" w:rsidRDefault="005C7595" w:rsidP="005C7595">
            <w:pPr>
              <w:pStyle w:val="BodyText"/>
              <w:spacing w:line="240" w:lineRule="auto"/>
              <w:ind w:left="1134" w:firstLine="284"/>
              <w:rPr>
                <w:rFonts w:cs="Arial"/>
                <w:bCs/>
                <w:sz w:val="22"/>
                <w:szCs w:val="22"/>
                <w:u w:val="single"/>
              </w:rPr>
            </w:pP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>Final Examination</w:t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ab/>
            </w:r>
            <w:r w:rsidR="00E2507B">
              <w:rPr>
                <w:rFonts w:cs="Arial"/>
                <w:bCs/>
                <w:sz w:val="22"/>
                <w:szCs w:val="22"/>
                <w:u w:val="single"/>
              </w:rPr>
              <w:t>25</w:t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>%</w:t>
            </w:r>
          </w:p>
          <w:p w:rsidR="005C7595" w:rsidRPr="004246B0" w:rsidRDefault="005C7595" w:rsidP="005C7595">
            <w:pPr>
              <w:pStyle w:val="BodyText"/>
              <w:spacing w:line="240" w:lineRule="auto"/>
              <w:ind w:left="1134" w:firstLine="284"/>
              <w:rPr>
                <w:rFonts w:cs="Arial"/>
                <w:bCs/>
                <w:sz w:val="22"/>
                <w:szCs w:val="22"/>
              </w:rPr>
            </w:pPr>
            <w:r w:rsidRPr="004246B0">
              <w:rPr>
                <w:rFonts w:cs="Arial"/>
                <w:bCs/>
                <w:sz w:val="22"/>
                <w:szCs w:val="22"/>
              </w:rPr>
              <w:t>Final Mark</w:t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  <w:t>100%</w:t>
            </w:r>
          </w:p>
          <w:p w:rsidR="005C7595" w:rsidRDefault="005C7595" w:rsidP="00FB3747">
            <w:pPr>
              <w:rPr>
                <w:rFonts w:ascii="Arial" w:hAnsi="Arial" w:cs="Arial"/>
              </w:rPr>
            </w:pPr>
          </w:p>
          <w:p w:rsidR="004246B0" w:rsidRDefault="004246B0" w:rsidP="004246B0">
            <w:pPr>
              <w:rPr>
                <w:rFonts w:ascii="Arial" w:hAnsi="Arial" w:cs="Arial"/>
                <w:i/>
                <w:lang w:val="en-US"/>
              </w:rPr>
            </w:pPr>
            <w:r w:rsidRPr="004246B0">
              <w:rPr>
                <w:rFonts w:ascii="Arial" w:hAnsi="Arial" w:cs="Arial"/>
                <w:lang w:val="en-US"/>
              </w:rPr>
              <w:t xml:space="preserve">All curriculum expectations will be accounted for in instruction, but evaluation focuses on students’ achievement of the </w:t>
            </w:r>
            <w:r w:rsidRPr="004246B0">
              <w:rPr>
                <w:rFonts w:ascii="Arial" w:hAnsi="Arial" w:cs="Arial"/>
                <w:i/>
                <w:iCs/>
                <w:lang w:val="en-US"/>
              </w:rPr>
              <w:t>overall</w:t>
            </w:r>
            <w:r w:rsidRPr="004246B0">
              <w:rPr>
                <w:rFonts w:ascii="Arial" w:hAnsi="Arial" w:cs="Arial"/>
                <w:lang w:val="en-US"/>
              </w:rPr>
              <w:t xml:space="preserve"> ex</w:t>
            </w:r>
            <w:r>
              <w:rPr>
                <w:rFonts w:ascii="Arial" w:hAnsi="Arial" w:cs="Arial"/>
                <w:lang w:val="en-US"/>
              </w:rPr>
              <w:t xml:space="preserve">pectations. </w:t>
            </w:r>
            <w:r w:rsidRPr="004246B0">
              <w:rPr>
                <w:rFonts w:ascii="Arial" w:hAnsi="Arial" w:cs="Arial"/>
                <w:lang w:val="en-US"/>
              </w:rPr>
              <w:t xml:space="preserve">Teachers will ensure that student work is assessed and/or evaluated in a balanced manner with respect </w:t>
            </w:r>
            <w:r>
              <w:rPr>
                <w:rFonts w:ascii="Arial" w:hAnsi="Arial" w:cs="Arial"/>
                <w:lang w:val="en-US"/>
              </w:rPr>
              <w:t xml:space="preserve">to the four categories of the achievement chart in the Ontario Curriculum </w:t>
            </w:r>
            <w:r w:rsidRPr="004246B0">
              <w:rPr>
                <w:rFonts w:ascii="Arial" w:hAnsi="Arial" w:cs="Arial"/>
                <w:i/>
                <w:lang w:val="en-US"/>
              </w:rPr>
              <w:t>(Knowledge and Understanding, Thinking and Inquiry, Communication, Application).</w:t>
            </w:r>
          </w:p>
          <w:p w:rsidR="003504A7" w:rsidRDefault="003504A7" w:rsidP="004246B0">
            <w:pPr>
              <w:rPr>
                <w:rFonts w:ascii="Arial" w:hAnsi="Arial" w:cs="Arial"/>
                <w:i/>
                <w:lang w:val="en-US"/>
              </w:rPr>
            </w:pPr>
          </w:p>
          <w:p w:rsidR="003504A7" w:rsidRDefault="003504A7" w:rsidP="003504A7">
            <w:pPr>
              <w:rPr>
                <w:rFonts w:ascii="Arial" w:hAnsi="Arial" w:cs="Arial"/>
              </w:rPr>
            </w:pPr>
            <w:r w:rsidRPr="003504A7">
              <w:rPr>
                <w:rFonts w:ascii="Arial" w:hAnsi="Arial" w:cs="Arial"/>
              </w:rPr>
              <w:t>Students will be given multiple opportunities to demonstrate and meet the curriculum expectations as outlined above through a variety of assessments including, but not limited to</w:t>
            </w:r>
            <w:r w:rsidR="00A648E9">
              <w:rPr>
                <w:rFonts w:ascii="Arial" w:hAnsi="Arial" w:cs="Arial"/>
              </w:rPr>
              <w:t>:</w:t>
            </w:r>
            <w:r w:rsidRPr="003504A7">
              <w:rPr>
                <w:rFonts w:ascii="Arial" w:hAnsi="Arial" w:cs="Arial"/>
              </w:rPr>
              <w:t xml:space="preserve"> conversations, </w:t>
            </w:r>
            <w:r>
              <w:rPr>
                <w:rFonts w:ascii="Arial" w:hAnsi="Arial" w:cs="Arial"/>
              </w:rPr>
              <w:t>o</w:t>
            </w:r>
            <w:r w:rsidRPr="003504A7">
              <w:rPr>
                <w:rFonts w:ascii="Arial" w:hAnsi="Arial" w:cs="Arial"/>
              </w:rPr>
              <w:t>bservations, presentations, quizzes, tests, a final examination and other products.</w:t>
            </w:r>
          </w:p>
          <w:p w:rsidR="003504A7" w:rsidRDefault="003504A7" w:rsidP="003504A7">
            <w:pPr>
              <w:rPr>
                <w:rFonts w:ascii="Arial" w:hAnsi="Arial" w:cs="Arial"/>
              </w:rPr>
            </w:pPr>
          </w:p>
          <w:p w:rsidR="000749AA" w:rsidRPr="000749AA" w:rsidRDefault="000749AA" w:rsidP="000749AA">
            <w:pPr>
              <w:rPr>
                <w:rFonts w:ascii="Arial" w:hAnsi="Arial" w:cs="Arial"/>
                <w:lang w:val="en-US"/>
              </w:rPr>
            </w:pPr>
            <w:r w:rsidRPr="000749AA">
              <w:rPr>
                <w:rFonts w:ascii="Arial" w:hAnsi="Arial" w:cs="Arial"/>
                <w:lang w:val="en-US"/>
              </w:rPr>
              <w:t xml:space="preserve">Teachers will take various considerations into account before making a decision about the grade to enter on the report card. Determining a </w:t>
            </w:r>
            <w:r>
              <w:rPr>
                <w:rFonts w:ascii="Arial" w:hAnsi="Arial" w:cs="Arial"/>
                <w:lang w:val="en-US"/>
              </w:rPr>
              <w:t>final</w:t>
            </w:r>
            <w:r w:rsidRPr="000749AA">
              <w:rPr>
                <w:rFonts w:ascii="Arial" w:hAnsi="Arial" w:cs="Arial"/>
                <w:lang w:val="en-US"/>
              </w:rPr>
              <w:t xml:space="preserve"> grade will involve a teacher’s professional judgment and interpretation of the evidence, and should reflect the student’s most consistent level of achievement, with special consideration given to the most recent evidence.</w:t>
            </w:r>
          </w:p>
          <w:p w:rsidR="003504A7" w:rsidRPr="003504A7" w:rsidRDefault="003504A7" w:rsidP="003504A7">
            <w:pPr>
              <w:rPr>
                <w:rFonts w:ascii="Arial" w:hAnsi="Arial" w:cs="Arial"/>
                <w:lang w:val="en-US"/>
              </w:rPr>
            </w:pPr>
          </w:p>
          <w:p w:rsidR="005C7595" w:rsidRPr="005C7595" w:rsidRDefault="000749AA" w:rsidP="00FB3747">
            <w:pPr>
              <w:rPr>
                <w:rFonts w:ascii="Arial" w:hAnsi="Arial" w:cs="Arial"/>
              </w:rPr>
            </w:pPr>
            <w:r w:rsidRPr="000749AA">
              <w:rPr>
                <w:rFonts w:ascii="Arial" w:hAnsi="Arial" w:cs="Arial"/>
              </w:rPr>
              <w:t>In addition to curriculum expectations, students' learning skills will be assessed throughout the course, and will be communicated during the reporting period.</w:t>
            </w:r>
            <w:r>
              <w:rPr>
                <w:rFonts w:ascii="Arial" w:hAnsi="Arial" w:cs="Arial"/>
              </w:rPr>
              <w:t xml:space="preserve"> The six learning skills (</w:t>
            </w:r>
            <w:r w:rsidRPr="000749AA">
              <w:rPr>
                <w:rFonts w:ascii="Arial" w:hAnsi="Arial" w:cs="Arial"/>
                <w:lang w:val="en-US"/>
              </w:rPr>
              <w:t>Responsibility, Organization, Independent Work, Collaboration, In</w:t>
            </w:r>
            <w:r>
              <w:rPr>
                <w:rFonts w:ascii="Arial" w:hAnsi="Arial" w:cs="Arial"/>
                <w:lang w:val="en-US"/>
              </w:rPr>
              <w:t xml:space="preserve">itiative, and Self-Regulation) will be evaluated using a four point </w:t>
            </w:r>
            <w:r w:rsidRPr="000749AA">
              <w:rPr>
                <w:rFonts w:ascii="Arial" w:hAnsi="Arial" w:cs="Arial"/>
                <w:lang w:val="en-US"/>
              </w:rPr>
              <w:t>scale (</w:t>
            </w:r>
            <w:r w:rsidRPr="000749AA">
              <w:rPr>
                <w:rFonts w:ascii="Arial" w:hAnsi="Arial" w:cs="Arial"/>
              </w:rPr>
              <w:t>E—Excellent, G—Good, S—Satisfactory, N—Needs Improvement)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A648E9" w:rsidRDefault="00A648E9" w:rsidP="00FB3747">
      <w:pPr>
        <w:spacing w:after="0" w:line="240" w:lineRule="auto"/>
        <w:rPr>
          <w:rFonts w:ascii="Arial" w:hAnsi="Arial" w:cs="Arial"/>
          <w:sz w:val="24"/>
        </w:rPr>
      </w:pPr>
    </w:p>
    <w:sectPr w:rsidR="00A648E9" w:rsidSect="00A648E9">
      <w:pgSz w:w="12240" w:h="15840"/>
      <w:pgMar w:top="992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47"/>
    <w:rsid w:val="000749AA"/>
    <w:rsid w:val="00196674"/>
    <w:rsid w:val="001B1C92"/>
    <w:rsid w:val="003504A7"/>
    <w:rsid w:val="00404B5B"/>
    <w:rsid w:val="004246B0"/>
    <w:rsid w:val="00427CE1"/>
    <w:rsid w:val="005C7595"/>
    <w:rsid w:val="00643C56"/>
    <w:rsid w:val="006E2428"/>
    <w:rsid w:val="00A648E9"/>
    <w:rsid w:val="00E2507B"/>
    <w:rsid w:val="00FB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3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4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5C7595"/>
    <w:pPr>
      <w:widowControl w:val="0"/>
      <w:suppressAutoHyphens/>
      <w:spacing w:after="0" w:line="360" w:lineRule="auto"/>
      <w:jc w:val="both"/>
    </w:pPr>
    <w:rPr>
      <w:rFonts w:ascii="Arial" w:eastAsia="Times New Roman" w:hAnsi="Arial" w:cs="Times New Roman"/>
      <w:sz w:val="28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5C7595"/>
    <w:rPr>
      <w:rFonts w:ascii="Arial" w:eastAsia="Times New Roman" w:hAnsi="Arial" w:cs="Times New Roman"/>
      <w:sz w:val="28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3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4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5C7595"/>
    <w:pPr>
      <w:widowControl w:val="0"/>
      <w:suppressAutoHyphens/>
      <w:spacing w:after="0" w:line="360" w:lineRule="auto"/>
      <w:jc w:val="both"/>
    </w:pPr>
    <w:rPr>
      <w:rFonts w:ascii="Arial" w:eastAsia="Times New Roman" w:hAnsi="Arial" w:cs="Times New Roman"/>
      <w:sz w:val="28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5C7595"/>
    <w:rPr>
      <w:rFonts w:ascii="Arial" w:eastAsia="Times New Roman" w:hAnsi="Arial" w:cs="Times New Roman"/>
      <w:sz w:val="28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6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Rimnyak</cp:lastModifiedBy>
  <cp:revision>3</cp:revision>
  <dcterms:created xsi:type="dcterms:W3CDTF">2014-06-26T14:36:00Z</dcterms:created>
  <dcterms:modified xsi:type="dcterms:W3CDTF">2014-08-26T23:12:00Z</dcterms:modified>
</cp:coreProperties>
</file>